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4C1E3" w14:textId="024B68F5" w:rsidR="000A76DA" w:rsidRDefault="00187D7B" w:rsidP="00187D7B">
      <w:pPr>
        <w:jc w:val="center"/>
        <w:rPr>
          <w:rFonts w:cstheme="minorHAnsi"/>
          <w:b/>
          <w:bCs/>
          <w:sz w:val="28"/>
          <w:szCs w:val="28"/>
        </w:rPr>
      </w:pPr>
      <w:r w:rsidRPr="00187D7B">
        <w:rPr>
          <w:rFonts w:cstheme="minorHAnsi"/>
          <w:b/>
          <w:bCs/>
          <w:sz w:val="28"/>
          <w:szCs w:val="28"/>
        </w:rPr>
        <w:t>Environmental &amp; Sustainability Considerations</w:t>
      </w:r>
    </w:p>
    <w:p w14:paraId="189DF355" w14:textId="3E4B3D59" w:rsidR="007A48ED" w:rsidRDefault="007A48ED" w:rsidP="007A48ED">
      <w:pPr>
        <w:jc w:val="center"/>
        <w:rPr>
          <w:rFonts w:cstheme="minorHAnsi"/>
        </w:rPr>
      </w:pPr>
      <w:r>
        <w:rPr>
          <w:noProof/>
        </w:rPr>
        <w:drawing>
          <wp:inline distT="0" distB="0" distL="0" distR="0" wp14:anchorId="677D4E61" wp14:editId="50BBC84A">
            <wp:extent cx="3819525" cy="2546350"/>
            <wp:effectExtent l="0" t="0" r="9525" b="6350"/>
            <wp:docPr id="4" name="Picture 4" descr="Envision2030: 17 goals to transform the world for persons with disabilities  | United Nations En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vision2030: 17 goals to transform the world for persons with disabilities  | United Nations Ena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965" cy="2546643"/>
                    </a:xfrm>
                    <a:prstGeom prst="rect">
                      <a:avLst/>
                    </a:prstGeom>
                    <a:noFill/>
                    <a:ln>
                      <a:noFill/>
                    </a:ln>
                  </pic:spPr>
                </pic:pic>
              </a:graphicData>
            </a:graphic>
          </wp:inline>
        </w:drawing>
      </w:r>
    </w:p>
    <w:p w14:paraId="1ED19015" w14:textId="6F6FBAA6" w:rsidR="00187D7B" w:rsidRDefault="007A48ED" w:rsidP="00F751F5">
      <w:pPr>
        <w:jc w:val="both"/>
        <w:rPr>
          <w:rFonts w:eastAsia="Times New Roman" w:cstheme="minorHAnsi"/>
          <w:sz w:val="23"/>
          <w:szCs w:val="23"/>
        </w:rPr>
      </w:pPr>
      <w:r>
        <w:rPr>
          <w:rFonts w:cstheme="minorHAnsi"/>
        </w:rPr>
        <w:t>I</w:t>
      </w:r>
      <w:r w:rsidR="00187D7B" w:rsidRPr="00187D7B">
        <w:rPr>
          <w:rFonts w:cstheme="minorHAnsi"/>
        </w:rPr>
        <w:t xml:space="preserve">n 2018 UCD </w:t>
      </w:r>
      <w:r w:rsidR="00AD6421">
        <w:rPr>
          <w:rFonts w:cstheme="minorHAnsi"/>
        </w:rPr>
        <w:t>took a strategic decision</w:t>
      </w:r>
      <w:r>
        <w:rPr>
          <w:rFonts w:cstheme="minorHAnsi"/>
        </w:rPr>
        <w:t xml:space="preserve"> </w:t>
      </w:r>
      <w:r w:rsidR="00187D7B" w:rsidRPr="00187D7B">
        <w:rPr>
          <w:rFonts w:cstheme="minorHAnsi"/>
        </w:rPr>
        <w:t xml:space="preserve">to map </w:t>
      </w:r>
      <w:r w:rsidR="00AD6421">
        <w:rPr>
          <w:rFonts w:cstheme="minorHAnsi"/>
        </w:rPr>
        <w:t>the universities</w:t>
      </w:r>
      <w:r w:rsidR="00187D7B" w:rsidRPr="00187D7B">
        <w:rPr>
          <w:rFonts w:cstheme="minorHAnsi"/>
        </w:rPr>
        <w:t xml:space="preserve"> actions in education, research, </w:t>
      </w:r>
      <w:proofErr w:type="gramStart"/>
      <w:r w:rsidR="00187D7B" w:rsidRPr="00187D7B">
        <w:rPr>
          <w:rFonts w:cstheme="minorHAnsi"/>
        </w:rPr>
        <w:t>governance</w:t>
      </w:r>
      <w:proofErr w:type="gramEnd"/>
      <w:r w:rsidR="00187D7B" w:rsidRPr="00187D7B">
        <w:rPr>
          <w:rFonts w:cstheme="minorHAnsi"/>
        </w:rPr>
        <w:t xml:space="preserve"> and engagement against the United Nations (UN) Sustainable Development Goals. </w:t>
      </w:r>
      <w:r w:rsidR="00187D7B" w:rsidRPr="00187D7B">
        <w:rPr>
          <w:rFonts w:eastAsia="Times New Roman" w:cstheme="minorHAnsi"/>
          <w:sz w:val="23"/>
          <w:szCs w:val="23"/>
        </w:rPr>
        <w:t xml:space="preserve">UCD </w:t>
      </w:r>
      <w:r w:rsidR="00F454FA">
        <w:rPr>
          <w:rFonts w:eastAsia="Times New Roman" w:cstheme="minorHAnsi"/>
          <w:sz w:val="23"/>
          <w:szCs w:val="23"/>
        </w:rPr>
        <w:t xml:space="preserve">also </w:t>
      </w:r>
      <w:proofErr w:type="spellStart"/>
      <w:r w:rsidR="00187D7B" w:rsidRPr="00187D7B">
        <w:rPr>
          <w:rFonts w:eastAsia="Times New Roman" w:cstheme="minorHAnsi"/>
          <w:sz w:val="23"/>
          <w:szCs w:val="23"/>
        </w:rPr>
        <w:t>recognises</w:t>
      </w:r>
      <w:proofErr w:type="spellEnd"/>
      <w:r w:rsidR="00187D7B" w:rsidRPr="00187D7B">
        <w:rPr>
          <w:rFonts w:eastAsia="Times New Roman" w:cstheme="minorHAnsi"/>
          <w:sz w:val="23"/>
          <w:szCs w:val="23"/>
        </w:rPr>
        <w:t xml:space="preserve"> the important role it </w:t>
      </w:r>
      <w:proofErr w:type="gramStart"/>
      <w:r w:rsidR="00187D7B" w:rsidRPr="00187D7B">
        <w:rPr>
          <w:rFonts w:eastAsia="Times New Roman" w:cstheme="minorHAnsi"/>
          <w:sz w:val="23"/>
          <w:szCs w:val="23"/>
        </w:rPr>
        <w:t>has to</w:t>
      </w:r>
      <w:proofErr w:type="gramEnd"/>
      <w:r w:rsidR="00187D7B" w:rsidRPr="00187D7B">
        <w:rPr>
          <w:rFonts w:eastAsia="Times New Roman" w:cstheme="minorHAnsi"/>
          <w:sz w:val="23"/>
          <w:szCs w:val="23"/>
        </w:rPr>
        <w:t xml:space="preserve"> play as a leader in t</w:t>
      </w:r>
      <w:r w:rsidR="00F454FA">
        <w:rPr>
          <w:rFonts w:eastAsia="Times New Roman" w:cstheme="minorHAnsi"/>
          <w:sz w:val="23"/>
          <w:szCs w:val="23"/>
        </w:rPr>
        <w:t xml:space="preserve">he </w:t>
      </w:r>
      <w:r w:rsidR="00187D7B" w:rsidRPr="00187D7B">
        <w:rPr>
          <w:rFonts w:eastAsia="Times New Roman" w:cstheme="minorHAnsi"/>
          <w:sz w:val="23"/>
          <w:szCs w:val="23"/>
        </w:rPr>
        <w:t>global challenges</w:t>
      </w:r>
      <w:r w:rsidR="00F454FA">
        <w:rPr>
          <w:rFonts w:eastAsia="Times New Roman" w:cstheme="minorHAnsi"/>
          <w:sz w:val="23"/>
          <w:szCs w:val="23"/>
        </w:rPr>
        <w:t xml:space="preserve"> of sustainable development and climate change</w:t>
      </w:r>
      <w:r w:rsidR="00187D7B" w:rsidRPr="00187D7B">
        <w:rPr>
          <w:rFonts w:eastAsia="Times New Roman" w:cstheme="minorHAnsi"/>
          <w:sz w:val="23"/>
          <w:szCs w:val="23"/>
        </w:rPr>
        <w:t xml:space="preserve">, not only in research and teaching but also in the operation and development of </w:t>
      </w:r>
      <w:r w:rsidR="00AD6421">
        <w:rPr>
          <w:rFonts w:eastAsia="Times New Roman" w:cstheme="minorHAnsi"/>
          <w:sz w:val="23"/>
          <w:szCs w:val="23"/>
        </w:rPr>
        <w:t>its campuses</w:t>
      </w:r>
      <w:r w:rsidR="00187D7B" w:rsidRPr="00187D7B">
        <w:rPr>
          <w:rFonts w:eastAsia="Times New Roman" w:cstheme="minorHAnsi"/>
          <w:sz w:val="23"/>
          <w:szCs w:val="23"/>
        </w:rPr>
        <w:t xml:space="preserve">. The University seeks </w:t>
      </w:r>
      <w:r w:rsidR="00AD6421">
        <w:rPr>
          <w:rFonts w:eastAsia="Times New Roman" w:cstheme="minorHAnsi"/>
          <w:sz w:val="23"/>
          <w:szCs w:val="23"/>
        </w:rPr>
        <w:t xml:space="preserve">to </w:t>
      </w:r>
      <w:r w:rsidR="00187D7B" w:rsidRPr="00187D7B">
        <w:rPr>
          <w:rFonts w:eastAsia="Times New Roman" w:cstheme="minorHAnsi"/>
          <w:sz w:val="23"/>
          <w:szCs w:val="23"/>
        </w:rPr>
        <w:t>attain</w:t>
      </w:r>
      <w:r w:rsidR="00AD6421">
        <w:rPr>
          <w:rFonts w:eastAsia="Times New Roman" w:cstheme="minorHAnsi"/>
          <w:sz w:val="23"/>
          <w:szCs w:val="23"/>
        </w:rPr>
        <w:t xml:space="preserve"> </w:t>
      </w:r>
      <w:r w:rsidR="00187D7B" w:rsidRPr="00187D7B">
        <w:rPr>
          <w:rFonts w:eastAsia="Times New Roman" w:cstheme="minorHAnsi"/>
          <w:sz w:val="23"/>
          <w:szCs w:val="23"/>
        </w:rPr>
        <w:t xml:space="preserve">a sustainable, </w:t>
      </w:r>
      <w:proofErr w:type="gramStart"/>
      <w:r w:rsidR="00187D7B" w:rsidRPr="00187D7B">
        <w:rPr>
          <w:rFonts w:eastAsia="Times New Roman" w:cstheme="minorHAnsi"/>
          <w:sz w:val="23"/>
          <w:szCs w:val="23"/>
        </w:rPr>
        <w:t>healthy</w:t>
      </w:r>
      <w:proofErr w:type="gramEnd"/>
      <w:r w:rsidR="00187D7B" w:rsidRPr="00187D7B">
        <w:rPr>
          <w:rFonts w:eastAsia="Times New Roman" w:cstheme="minorHAnsi"/>
          <w:sz w:val="23"/>
          <w:szCs w:val="23"/>
        </w:rPr>
        <w:t xml:space="preserve"> and living campus and as such </w:t>
      </w:r>
      <w:proofErr w:type="spellStart"/>
      <w:r w:rsidR="00187D7B" w:rsidRPr="00187D7B">
        <w:rPr>
          <w:rFonts w:eastAsia="Times New Roman" w:cstheme="minorHAnsi"/>
          <w:sz w:val="23"/>
          <w:szCs w:val="23"/>
        </w:rPr>
        <w:t>endeavours</w:t>
      </w:r>
      <w:proofErr w:type="spellEnd"/>
      <w:r w:rsidR="00187D7B" w:rsidRPr="00187D7B">
        <w:rPr>
          <w:rFonts w:eastAsia="Times New Roman" w:cstheme="minorHAnsi"/>
          <w:sz w:val="23"/>
          <w:szCs w:val="23"/>
        </w:rPr>
        <w:t xml:space="preserve"> to manage the campus in a way that considers energy and water usage, waste management, sustainable commuting and biodiversity in all of its activities where relevant.</w:t>
      </w:r>
    </w:p>
    <w:p w14:paraId="415AAA76" w14:textId="77777777" w:rsidR="00F22C5D" w:rsidRDefault="00F22C5D" w:rsidP="00F22C5D">
      <w:pPr>
        <w:jc w:val="both"/>
        <w:rPr>
          <w:rFonts w:eastAsia="Times New Roman" w:cstheme="minorHAnsi"/>
          <w:sz w:val="23"/>
          <w:szCs w:val="23"/>
        </w:rPr>
      </w:pPr>
      <w:r>
        <w:rPr>
          <w:rFonts w:eastAsia="Times New Roman" w:cstheme="minorHAnsi"/>
          <w:sz w:val="23"/>
          <w:szCs w:val="23"/>
        </w:rPr>
        <w:t xml:space="preserve">This therefore impacts on the decisions taken when procuring goods, </w:t>
      </w:r>
      <w:proofErr w:type="gramStart"/>
      <w:r>
        <w:rPr>
          <w:rFonts w:eastAsia="Times New Roman" w:cstheme="minorHAnsi"/>
          <w:sz w:val="23"/>
          <w:szCs w:val="23"/>
        </w:rPr>
        <w:t>services</w:t>
      </w:r>
      <w:proofErr w:type="gramEnd"/>
      <w:r>
        <w:rPr>
          <w:rFonts w:eastAsia="Times New Roman" w:cstheme="minorHAnsi"/>
          <w:sz w:val="23"/>
          <w:szCs w:val="23"/>
        </w:rPr>
        <w:t xml:space="preserve"> and equipment. Environmental and sustainability considerations must be taken into account when drawing up Specifications and developing Award Criteria in order to have an informed decision on the Total Cost of Ownership of a Product or </w:t>
      </w:r>
      <w:proofErr w:type="gramStart"/>
      <w:r>
        <w:rPr>
          <w:rFonts w:eastAsia="Times New Roman" w:cstheme="minorHAnsi"/>
          <w:sz w:val="23"/>
          <w:szCs w:val="23"/>
        </w:rPr>
        <w:t>Service.  .</w:t>
      </w:r>
      <w:proofErr w:type="gramEnd"/>
      <w:r>
        <w:rPr>
          <w:rFonts w:eastAsia="Times New Roman" w:cstheme="minorHAnsi"/>
          <w:sz w:val="23"/>
          <w:szCs w:val="23"/>
        </w:rPr>
        <w:t xml:space="preserve"> </w:t>
      </w:r>
      <w:r>
        <w:t xml:space="preserve">UCD is certified to Energy Management </w:t>
      </w:r>
      <w:proofErr w:type="gramStart"/>
      <w:r>
        <w:t>System,  ISO</w:t>
      </w:r>
      <w:proofErr w:type="gramEnd"/>
      <w:r>
        <w:t xml:space="preserve">50001 and therefore as an </w:t>
      </w:r>
      <w:proofErr w:type="spellStart"/>
      <w:r>
        <w:t>organisation</w:t>
      </w:r>
      <w:proofErr w:type="spellEnd"/>
      <w:r>
        <w:t xml:space="preserve"> we are required to include criteria on life cycle energy costs where appropriate in our tender documentation.</w:t>
      </w:r>
    </w:p>
    <w:p w14:paraId="4E4A50ED" w14:textId="77777777" w:rsidR="00F22C5D" w:rsidRPr="00132B5E" w:rsidRDefault="00F22C5D" w:rsidP="00F22C5D">
      <w:pPr>
        <w:jc w:val="both"/>
        <w:rPr>
          <w:rFonts w:eastAsia="Times New Roman" w:cstheme="minorHAnsi"/>
          <w:sz w:val="23"/>
          <w:szCs w:val="23"/>
        </w:rPr>
      </w:pPr>
      <w:r w:rsidRPr="007A48ED">
        <w:rPr>
          <w:rFonts w:cstheme="minorHAnsi"/>
        </w:rPr>
        <w:t xml:space="preserve">The appropriateness </w:t>
      </w:r>
      <w:r>
        <w:rPr>
          <w:rFonts w:cstheme="minorHAnsi"/>
        </w:rPr>
        <w:t xml:space="preserve">and extent of </w:t>
      </w:r>
      <w:r w:rsidRPr="007A48ED">
        <w:rPr>
          <w:rFonts w:cstheme="minorHAnsi"/>
        </w:rPr>
        <w:t xml:space="preserve">environmental </w:t>
      </w:r>
      <w:r>
        <w:rPr>
          <w:rFonts w:cstheme="minorHAnsi"/>
        </w:rPr>
        <w:t xml:space="preserve">and sustainability factors </w:t>
      </w:r>
      <w:r w:rsidRPr="007A48ED">
        <w:rPr>
          <w:rFonts w:cstheme="minorHAnsi"/>
        </w:rPr>
        <w:t xml:space="preserve">will vary from </w:t>
      </w:r>
      <w:r>
        <w:rPr>
          <w:rFonts w:cstheme="minorHAnsi"/>
        </w:rPr>
        <w:t>project to project</w:t>
      </w:r>
      <w:r w:rsidRPr="007A48ED">
        <w:rPr>
          <w:rFonts w:cstheme="minorHAnsi"/>
        </w:rPr>
        <w:t xml:space="preserve">. </w:t>
      </w:r>
    </w:p>
    <w:p w14:paraId="76095AF4" w14:textId="015A615B" w:rsidR="007A48ED" w:rsidRPr="007A48ED" w:rsidRDefault="00132B5E" w:rsidP="007A48ED">
      <w:pPr>
        <w:jc w:val="both"/>
        <w:rPr>
          <w:rFonts w:cstheme="minorHAnsi"/>
        </w:rPr>
      </w:pPr>
      <w:r>
        <w:rPr>
          <w:rFonts w:cstheme="minorHAnsi"/>
        </w:rPr>
        <w:t>C</w:t>
      </w:r>
      <w:r w:rsidR="007A48ED" w:rsidRPr="007A48ED">
        <w:rPr>
          <w:rFonts w:cstheme="minorHAnsi"/>
        </w:rPr>
        <w:t xml:space="preserve">omprehensive guidance on the use of environmental clauses is set out in:  </w:t>
      </w:r>
    </w:p>
    <w:p w14:paraId="7A88CA94" w14:textId="77777777" w:rsidR="00132B5E" w:rsidRPr="00132B5E" w:rsidRDefault="007A48ED" w:rsidP="00132B5E">
      <w:pPr>
        <w:pStyle w:val="ListParagraph"/>
        <w:numPr>
          <w:ilvl w:val="0"/>
          <w:numId w:val="1"/>
        </w:numPr>
        <w:jc w:val="both"/>
        <w:rPr>
          <w:rFonts w:cstheme="minorHAnsi"/>
        </w:rPr>
      </w:pPr>
      <w:r w:rsidRPr="00132B5E">
        <w:rPr>
          <w:rFonts w:cstheme="minorHAnsi"/>
        </w:rPr>
        <w:t xml:space="preserve">Green Tenders - An Action Plan on Green Public Procurement, published in 2012 by the Department of Environment, Community and Local Government and the Department of Public Expenditure and Reform, and </w:t>
      </w:r>
    </w:p>
    <w:p w14:paraId="5FF34696" w14:textId="2DBEB443" w:rsidR="007A48ED" w:rsidRDefault="007A48ED" w:rsidP="00132B5E">
      <w:pPr>
        <w:pStyle w:val="ListParagraph"/>
        <w:numPr>
          <w:ilvl w:val="0"/>
          <w:numId w:val="1"/>
        </w:numPr>
        <w:jc w:val="both"/>
        <w:rPr>
          <w:rFonts w:cstheme="minorHAnsi"/>
        </w:rPr>
      </w:pPr>
      <w:r w:rsidRPr="00132B5E">
        <w:rPr>
          <w:rFonts w:cstheme="minorHAnsi"/>
        </w:rPr>
        <w:t>Green Procurement Guidance for the Public Sector published in 2014 by the Environmental Protection Agency</w:t>
      </w:r>
    </w:p>
    <w:p w14:paraId="08162D6F" w14:textId="2E302AEA" w:rsidR="00732753" w:rsidRDefault="00732753" w:rsidP="00732753">
      <w:pPr>
        <w:jc w:val="both"/>
        <w:rPr>
          <w:rFonts w:cstheme="minorHAnsi"/>
        </w:rPr>
      </w:pPr>
      <w:proofErr w:type="gramStart"/>
      <w:r>
        <w:rPr>
          <w:rFonts w:cstheme="minorHAnsi"/>
        </w:rPr>
        <w:t>Both of these</w:t>
      </w:r>
      <w:proofErr w:type="gramEnd"/>
      <w:r>
        <w:rPr>
          <w:rFonts w:cstheme="minorHAnsi"/>
        </w:rPr>
        <w:t xml:space="preserve"> documents are available under the Useful Information and Resources webpage.</w:t>
      </w:r>
    </w:p>
    <w:p w14:paraId="4049CAE8" w14:textId="77777777" w:rsidR="00F22C5D" w:rsidRPr="00732753" w:rsidRDefault="00F22C5D" w:rsidP="00F22C5D">
      <w:pPr>
        <w:jc w:val="both"/>
        <w:rPr>
          <w:rFonts w:cstheme="minorHAnsi"/>
        </w:rPr>
      </w:pPr>
      <w:r>
        <w:rPr>
          <w:rFonts w:cstheme="minorHAnsi"/>
        </w:rPr>
        <w:t>Another useful resources can be found on</w:t>
      </w:r>
      <w:r w:rsidRPr="007D09BB">
        <w:t xml:space="preserve"> </w:t>
      </w:r>
      <w:proofErr w:type="gramStart"/>
      <w:r w:rsidRPr="007D09BB">
        <w:rPr>
          <w:rFonts w:cstheme="minorHAnsi"/>
        </w:rPr>
        <w:t>https://www.interregeurope.eu/gpp4growth/</w:t>
      </w:r>
      <w:proofErr w:type="gramEnd"/>
    </w:p>
    <w:p w14:paraId="08EB19F8" w14:textId="77777777" w:rsidR="00F22C5D" w:rsidRPr="00732753" w:rsidRDefault="00F22C5D" w:rsidP="00732753">
      <w:pPr>
        <w:jc w:val="both"/>
        <w:rPr>
          <w:rFonts w:cstheme="minorHAnsi"/>
        </w:rPr>
      </w:pPr>
    </w:p>
    <w:p w14:paraId="5D8D18E5" w14:textId="14351F50" w:rsidR="00732753" w:rsidRDefault="009654E3" w:rsidP="007A48ED">
      <w:pPr>
        <w:jc w:val="both"/>
        <w:rPr>
          <w:rFonts w:cstheme="minorHAnsi"/>
        </w:rPr>
      </w:pPr>
      <w:r>
        <w:rPr>
          <w:rFonts w:cstheme="minorHAnsi"/>
        </w:rPr>
        <w:lastRenderedPageBreak/>
        <w:t>Eight p</w:t>
      </w:r>
      <w:r w:rsidR="007A48ED" w:rsidRPr="007A48ED">
        <w:rPr>
          <w:rFonts w:cstheme="minorHAnsi"/>
        </w:rPr>
        <w:t xml:space="preserve">riority areas of procurement activity are identified in these guidance documents as most suitable for inclusion of environmental measures </w:t>
      </w:r>
      <w:proofErr w:type="gramStart"/>
      <w:r w:rsidR="007A48ED" w:rsidRPr="007A48ED">
        <w:rPr>
          <w:rFonts w:cstheme="minorHAnsi"/>
        </w:rPr>
        <w:t>including;</w:t>
      </w:r>
      <w:proofErr w:type="gramEnd"/>
      <w:r w:rsidR="007A48ED" w:rsidRPr="007A48ED">
        <w:rPr>
          <w:rFonts w:cstheme="minorHAnsi"/>
        </w:rPr>
        <w:t xml:space="preserve"> </w:t>
      </w:r>
    </w:p>
    <w:p w14:paraId="37D43DB7" w14:textId="77777777" w:rsidR="00732753" w:rsidRDefault="007A48ED" w:rsidP="00732753">
      <w:pPr>
        <w:pStyle w:val="ListParagraph"/>
        <w:numPr>
          <w:ilvl w:val="0"/>
          <w:numId w:val="2"/>
        </w:numPr>
        <w:jc w:val="both"/>
        <w:rPr>
          <w:rFonts w:cstheme="minorHAnsi"/>
        </w:rPr>
      </w:pPr>
      <w:proofErr w:type="gramStart"/>
      <w:r w:rsidRPr="00732753">
        <w:rPr>
          <w:rFonts w:cstheme="minorHAnsi"/>
        </w:rPr>
        <w:t>construction;</w:t>
      </w:r>
      <w:proofErr w:type="gramEnd"/>
      <w:r w:rsidRPr="00732753">
        <w:rPr>
          <w:rFonts w:cstheme="minorHAnsi"/>
        </w:rPr>
        <w:t xml:space="preserve"> </w:t>
      </w:r>
    </w:p>
    <w:p w14:paraId="7A6FC99E" w14:textId="77777777" w:rsidR="00732753" w:rsidRDefault="007A48ED" w:rsidP="00732753">
      <w:pPr>
        <w:pStyle w:val="ListParagraph"/>
        <w:numPr>
          <w:ilvl w:val="0"/>
          <w:numId w:val="2"/>
        </w:numPr>
        <w:jc w:val="both"/>
        <w:rPr>
          <w:rFonts w:cstheme="minorHAnsi"/>
        </w:rPr>
      </w:pPr>
      <w:proofErr w:type="gramStart"/>
      <w:r w:rsidRPr="00732753">
        <w:rPr>
          <w:rFonts w:cstheme="minorHAnsi"/>
        </w:rPr>
        <w:t>energy;</w:t>
      </w:r>
      <w:proofErr w:type="gramEnd"/>
      <w:r w:rsidRPr="00732753">
        <w:rPr>
          <w:rFonts w:cstheme="minorHAnsi"/>
        </w:rPr>
        <w:t xml:space="preserve"> </w:t>
      </w:r>
    </w:p>
    <w:p w14:paraId="06B3ADB3" w14:textId="77777777" w:rsidR="00732753" w:rsidRDefault="007A48ED" w:rsidP="00732753">
      <w:pPr>
        <w:pStyle w:val="ListParagraph"/>
        <w:numPr>
          <w:ilvl w:val="0"/>
          <w:numId w:val="2"/>
        </w:numPr>
        <w:jc w:val="both"/>
        <w:rPr>
          <w:rFonts w:cstheme="minorHAnsi"/>
        </w:rPr>
      </w:pPr>
      <w:proofErr w:type="gramStart"/>
      <w:r w:rsidRPr="00732753">
        <w:rPr>
          <w:rFonts w:cstheme="minorHAnsi"/>
        </w:rPr>
        <w:t>transport;</w:t>
      </w:r>
      <w:proofErr w:type="gramEnd"/>
      <w:r w:rsidRPr="00732753">
        <w:rPr>
          <w:rFonts w:cstheme="minorHAnsi"/>
        </w:rPr>
        <w:t xml:space="preserve"> </w:t>
      </w:r>
    </w:p>
    <w:p w14:paraId="53B2C375" w14:textId="77777777" w:rsidR="00732753" w:rsidRDefault="007A48ED" w:rsidP="00732753">
      <w:pPr>
        <w:pStyle w:val="ListParagraph"/>
        <w:numPr>
          <w:ilvl w:val="0"/>
          <w:numId w:val="2"/>
        </w:numPr>
        <w:jc w:val="both"/>
        <w:rPr>
          <w:rFonts w:cstheme="minorHAnsi"/>
        </w:rPr>
      </w:pPr>
      <w:r w:rsidRPr="00732753">
        <w:rPr>
          <w:rFonts w:cstheme="minorHAnsi"/>
        </w:rPr>
        <w:t xml:space="preserve">food and catering </w:t>
      </w:r>
      <w:proofErr w:type="gramStart"/>
      <w:r w:rsidRPr="00732753">
        <w:rPr>
          <w:rFonts w:cstheme="minorHAnsi"/>
        </w:rPr>
        <w:t>services;</w:t>
      </w:r>
      <w:proofErr w:type="gramEnd"/>
      <w:r w:rsidRPr="00732753">
        <w:rPr>
          <w:rFonts w:cstheme="minorHAnsi"/>
        </w:rPr>
        <w:t xml:space="preserve"> </w:t>
      </w:r>
    </w:p>
    <w:p w14:paraId="25A89AA7" w14:textId="77777777" w:rsidR="00732753" w:rsidRDefault="007A48ED" w:rsidP="00732753">
      <w:pPr>
        <w:pStyle w:val="ListParagraph"/>
        <w:numPr>
          <w:ilvl w:val="0"/>
          <w:numId w:val="2"/>
        </w:numPr>
        <w:jc w:val="both"/>
        <w:rPr>
          <w:rFonts w:cstheme="minorHAnsi"/>
        </w:rPr>
      </w:pPr>
      <w:r w:rsidRPr="00732753">
        <w:rPr>
          <w:rFonts w:cstheme="minorHAnsi"/>
        </w:rPr>
        <w:t xml:space="preserve">cleaning products and </w:t>
      </w:r>
      <w:proofErr w:type="gramStart"/>
      <w:r w:rsidRPr="00732753">
        <w:rPr>
          <w:rFonts w:cstheme="minorHAnsi"/>
        </w:rPr>
        <w:t>services;</w:t>
      </w:r>
      <w:proofErr w:type="gramEnd"/>
      <w:r w:rsidRPr="00732753">
        <w:rPr>
          <w:rFonts w:cstheme="minorHAnsi"/>
        </w:rPr>
        <w:t xml:space="preserve"> </w:t>
      </w:r>
    </w:p>
    <w:p w14:paraId="551D8627" w14:textId="77777777" w:rsidR="009654E3" w:rsidRDefault="007A48ED" w:rsidP="00732753">
      <w:pPr>
        <w:pStyle w:val="ListParagraph"/>
        <w:numPr>
          <w:ilvl w:val="0"/>
          <w:numId w:val="2"/>
        </w:numPr>
        <w:jc w:val="both"/>
        <w:rPr>
          <w:rFonts w:cstheme="minorHAnsi"/>
        </w:rPr>
      </w:pPr>
      <w:proofErr w:type="gramStart"/>
      <w:r w:rsidRPr="00732753">
        <w:rPr>
          <w:rFonts w:cstheme="minorHAnsi"/>
        </w:rPr>
        <w:t>paper;</w:t>
      </w:r>
      <w:proofErr w:type="gramEnd"/>
      <w:r w:rsidRPr="00732753">
        <w:rPr>
          <w:rFonts w:cstheme="minorHAnsi"/>
        </w:rPr>
        <w:t xml:space="preserve"> </w:t>
      </w:r>
    </w:p>
    <w:p w14:paraId="044A6409" w14:textId="4EFCD8FF" w:rsidR="00732753" w:rsidRDefault="007A48ED" w:rsidP="00732753">
      <w:pPr>
        <w:pStyle w:val="ListParagraph"/>
        <w:numPr>
          <w:ilvl w:val="0"/>
          <w:numId w:val="2"/>
        </w:numPr>
        <w:jc w:val="both"/>
        <w:rPr>
          <w:rFonts w:cstheme="minorHAnsi"/>
        </w:rPr>
      </w:pPr>
      <w:r w:rsidRPr="00732753">
        <w:rPr>
          <w:rFonts w:cstheme="minorHAnsi"/>
        </w:rPr>
        <w:t xml:space="preserve">clothing and </w:t>
      </w:r>
      <w:proofErr w:type="gramStart"/>
      <w:r w:rsidRPr="00732753">
        <w:rPr>
          <w:rFonts w:cstheme="minorHAnsi"/>
        </w:rPr>
        <w:t>textiles;</w:t>
      </w:r>
      <w:proofErr w:type="gramEnd"/>
    </w:p>
    <w:p w14:paraId="061D8E46" w14:textId="77777777" w:rsidR="00732753" w:rsidRDefault="007A48ED" w:rsidP="00732753">
      <w:pPr>
        <w:pStyle w:val="ListParagraph"/>
        <w:numPr>
          <w:ilvl w:val="0"/>
          <w:numId w:val="2"/>
        </w:numPr>
        <w:jc w:val="both"/>
        <w:rPr>
          <w:rFonts w:cstheme="minorHAnsi"/>
        </w:rPr>
      </w:pPr>
      <w:r w:rsidRPr="00732753">
        <w:rPr>
          <w:rFonts w:cstheme="minorHAnsi"/>
        </w:rPr>
        <w:t xml:space="preserve">information and communications technology.  </w:t>
      </w:r>
    </w:p>
    <w:p w14:paraId="288BDAA2" w14:textId="46E1C8EE" w:rsidR="00EC6364" w:rsidRDefault="009654E3" w:rsidP="007A48ED">
      <w:pPr>
        <w:jc w:val="both"/>
        <w:rPr>
          <w:rFonts w:cstheme="minorHAnsi"/>
        </w:rPr>
      </w:pPr>
      <w:r>
        <w:rPr>
          <w:rFonts w:cstheme="minorHAnsi"/>
        </w:rPr>
        <w:t xml:space="preserve">The Triple E Register available on the SEAI website contains a comprehensive list of products approved as being energy efficient. </w:t>
      </w:r>
      <w:r w:rsidR="007A48ED" w:rsidRPr="007A48ED">
        <w:rPr>
          <w:rFonts w:cstheme="minorHAnsi"/>
        </w:rPr>
        <w:t xml:space="preserve">Additional guidance is available </w:t>
      </w:r>
      <w:r w:rsidR="00EC6364">
        <w:rPr>
          <w:rFonts w:cstheme="minorHAnsi"/>
        </w:rPr>
        <w:t xml:space="preserve">for those </w:t>
      </w:r>
      <w:r w:rsidR="007A48ED" w:rsidRPr="007A48ED">
        <w:rPr>
          <w:rFonts w:cstheme="minorHAnsi"/>
        </w:rPr>
        <w:t xml:space="preserve">interested in buying goods and services with a lower environmental impact in “Buying Green!” which is the EU Commission’s main guidance document in this area. </w:t>
      </w:r>
    </w:p>
    <w:p w14:paraId="39DD925E" w14:textId="3F80DA8B" w:rsidR="00464277" w:rsidRDefault="00464277" w:rsidP="007A48ED">
      <w:pPr>
        <w:jc w:val="both"/>
        <w:rPr>
          <w:rFonts w:cstheme="minorHAnsi"/>
        </w:rPr>
      </w:pPr>
      <w:r>
        <w:rPr>
          <w:rFonts w:cstheme="minorHAnsi"/>
        </w:rPr>
        <w:t>In 2019 the Department of Public Expenditure &amp; Reform issued Circular 20/2019 which is promoting the use of environmental and social considerations in public procurement and which can be accessed under the Useful Information and Resources webpage. Set out below</w:t>
      </w:r>
      <w:r w:rsidR="00943830">
        <w:rPr>
          <w:rFonts w:cstheme="minorHAnsi"/>
        </w:rPr>
        <w:t xml:space="preserve"> are factors that need to be considered at the various stages of the procurement process.</w:t>
      </w:r>
    </w:p>
    <w:p w14:paraId="4E71D8A5" w14:textId="1CE24FFF" w:rsidR="00464277" w:rsidRDefault="00464277" w:rsidP="007A48ED">
      <w:pPr>
        <w:jc w:val="both"/>
        <w:rPr>
          <w:rFonts w:cstheme="minorHAnsi"/>
        </w:rPr>
      </w:pPr>
    </w:p>
    <w:p w14:paraId="4B6F7948" w14:textId="2D016ECE" w:rsidR="00464277" w:rsidRDefault="00464277" w:rsidP="007A48ED">
      <w:pPr>
        <w:jc w:val="both"/>
        <w:rPr>
          <w:rFonts w:cstheme="minorHAnsi"/>
        </w:rPr>
      </w:pPr>
      <w:r>
        <w:rPr>
          <w:noProof/>
        </w:rPr>
        <w:drawing>
          <wp:inline distT="0" distB="0" distL="0" distR="0" wp14:anchorId="2B04AF5A" wp14:editId="413BD700">
            <wp:extent cx="5943600" cy="3109595"/>
            <wp:effectExtent l="0" t="0" r="0" b="0"/>
            <wp:docPr id="802" name="Picture 802"/>
            <wp:cNvGraphicFramePr/>
            <a:graphic xmlns:a="http://schemas.openxmlformats.org/drawingml/2006/main">
              <a:graphicData uri="http://schemas.openxmlformats.org/drawingml/2006/picture">
                <pic:pic xmlns:pic="http://schemas.openxmlformats.org/drawingml/2006/picture">
                  <pic:nvPicPr>
                    <pic:cNvPr id="802" name="Picture 802"/>
                    <pic:cNvPicPr/>
                  </pic:nvPicPr>
                  <pic:blipFill>
                    <a:blip r:embed="rId6"/>
                    <a:stretch>
                      <a:fillRect/>
                    </a:stretch>
                  </pic:blipFill>
                  <pic:spPr>
                    <a:xfrm>
                      <a:off x="0" y="0"/>
                      <a:ext cx="5943600" cy="3109595"/>
                    </a:xfrm>
                    <a:prstGeom prst="rect">
                      <a:avLst/>
                    </a:prstGeom>
                  </pic:spPr>
                </pic:pic>
              </a:graphicData>
            </a:graphic>
          </wp:inline>
        </w:drawing>
      </w:r>
    </w:p>
    <w:p w14:paraId="7BD43A51" w14:textId="77777777" w:rsidR="00464277" w:rsidRDefault="00464277" w:rsidP="007A48ED">
      <w:pPr>
        <w:jc w:val="both"/>
        <w:rPr>
          <w:rFonts w:cstheme="minorHAnsi"/>
        </w:rPr>
      </w:pPr>
    </w:p>
    <w:p w14:paraId="0E3C2E50" w14:textId="45E5BEAD" w:rsidR="00D2471F" w:rsidRDefault="00D2471F" w:rsidP="007A48ED">
      <w:pPr>
        <w:jc w:val="both"/>
        <w:rPr>
          <w:rFonts w:cstheme="minorHAnsi"/>
        </w:rPr>
      </w:pPr>
      <w:r>
        <w:rPr>
          <w:rFonts w:cstheme="minorHAnsi"/>
        </w:rPr>
        <w:t>Please contact the Procurement, Contracts and Buying Function for further information and advice.</w:t>
      </w:r>
    </w:p>
    <w:p w14:paraId="34CB317E" w14:textId="77777777" w:rsidR="00EC6364" w:rsidRDefault="00EC6364" w:rsidP="007A48ED">
      <w:pPr>
        <w:jc w:val="both"/>
        <w:rPr>
          <w:rFonts w:cstheme="minorHAnsi"/>
        </w:rPr>
      </w:pPr>
    </w:p>
    <w:sectPr w:rsidR="00EC6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003B6"/>
    <w:multiLevelType w:val="hybridMultilevel"/>
    <w:tmpl w:val="FC862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8C13B9"/>
    <w:multiLevelType w:val="hybridMultilevel"/>
    <w:tmpl w:val="A71C6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7B"/>
    <w:rsid w:val="000A76DA"/>
    <w:rsid w:val="00132B5E"/>
    <w:rsid w:val="00187D7B"/>
    <w:rsid w:val="0025223C"/>
    <w:rsid w:val="002C41D0"/>
    <w:rsid w:val="00464277"/>
    <w:rsid w:val="005D552C"/>
    <w:rsid w:val="0065581B"/>
    <w:rsid w:val="00732753"/>
    <w:rsid w:val="007A48ED"/>
    <w:rsid w:val="00943830"/>
    <w:rsid w:val="009654E3"/>
    <w:rsid w:val="00AD6421"/>
    <w:rsid w:val="00C42484"/>
    <w:rsid w:val="00D2471F"/>
    <w:rsid w:val="00EC6364"/>
    <w:rsid w:val="00F22C5D"/>
    <w:rsid w:val="00F454FA"/>
    <w:rsid w:val="00F7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8979"/>
  <w15:chartTrackingRefBased/>
  <w15:docId w15:val="{0B88CD2A-335F-4D8A-8C81-448968BB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187D7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87D7B"/>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132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47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turlough.kieran1@ucd.ie</dc:creator>
  <cp:keywords/>
  <dc:description/>
  <cp:lastModifiedBy>turlough.kieran1@ucd.ie</cp:lastModifiedBy>
  <cp:revision>9</cp:revision>
  <dcterms:created xsi:type="dcterms:W3CDTF">2020-11-16T15:41:00Z</dcterms:created>
  <dcterms:modified xsi:type="dcterms:W3CDTF">2020-11-24T11:58:00Z</dcterms:modified>
</cp:coreProperties>
</file>